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F54B0">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14</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500842</w:t>
      </w:r>
    </w:p>
    <w:p w14:paraId="5DB517D7">
      <w:pPr>
        <w:pStyle w:val="18"/>
        <w:tabs>
          <w:tab w:val="right" w:pos="9781"/>
          <w:tab w:val="right" w:pos="13323"/>
          <w:tab w:val="clear" w:pos="4153"/>
          <w:tab w:val="clear" w:pos="8306"/>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eastAsia="宋体" w:cs="Arial"/>
          <w:b/>
          <w:sz w:val="24"/>
          <w:szCs w:val="24"/>
          <w:lang w:val="en-US" w:eastAsia="zh-CN"/>
        </w:rPr>
        <w:t>1</w:t>
      </w:r>
      <w:r>
        <w:rPr>
          <w:rFonts w:hint="eastAsia" w:ascii="Arial" w:hAnsi="Arial"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February</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61547467">
      <w:pPr>
        <w:tabs>
          <w:tab w:val="left" w:pos="1985"/>
        </w:tabs>
        <w:rPr>
          <w:b/>
          <w:sz w:val="22"/>
        </w:rPr>
      </w:pPr>
      <w:bookmarkStart w:id="10" w:name="_GoBack"/>
      <w:bookmarkEnd w:id="10"/>
    </w:p>
    <w:p w14:paraId="55B855D8">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5.21.3</w:t>
      </w:r>
    </w:p>
    <w:p w14:paraId="310A3FEC">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14:paraId="287C4145">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rPr>
        <w:t>Discussion on core maintenance</w:t>
      </w:r>
      <w:r>
        <w:rPr>
          <w:rFonts w:hint="eastAsia"/>
          <w:sz w:val="22"/>
          <w:lang w:val="en-US" w:eastAsia="zh-CN"/>
        </w:rPr>
        <w:t xml:space="preserve"> and LS from RAN2</w:t>
      </w:r>
      <w:r>
        <w:rPr>
          <w:rFonts w:hint="eastAsia"/>
          <w:sz w:val="22"/>
        </w:rPr>
        <w:t xml:space="preserve"> for N</w:t>
      </w:r>
      <w:r>
        <w:rPr>
          <w:rFonts w:hint="eastAsia"/>
          <w:sz w:val="22"/>
          <w:lang w:val="en-US" w:eastAsia="zh-CN"/>
        </w:rPr>
        <w:t>TN enhancement</w:t>
      </w:r>
    </w:p>
    <w:bookmarkEnd w:id="3"/>
    <w:bookmarkEnd w:id="4"/>
    <w:p w14:paraId="17BD65BF">
      <w:pPr>
        <w:tabs>
          <w:tab w:val="left" w:pos="1765"/>
        </w:tabs>
        <w:rPr>
          <w:sz w:val="22"/>
        </w:rPr>
      </w:pPr>
      <w:r>
        <w:rPr>
          <w:b/>
          <w:sz w:val="22"/>
        </w:rPr>
        <w:t>Document for:</w:t>
      </w:r>
      <w:r>
        <w:rPr>
          <w:b/>
          <w:sz w:val="22"/>
        </w:rPr>
        <w:tab/>
      </w:r>
      <w:r>
        <w:rPr>
          <w:sz w:val="22"/>
        </w:rPr>
        <w:t>Discussion</w:t>
      </w:r>
    </w:p>
    <w:p w14:paraId="7D8B59F9">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F77EABA">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In past several meetings, RAN4 focused on the Rel-18 NTN maintenance issues, the latest progress has been agreed in the WF [1]. In this contribution, we further discuss on the leftovers.</w:t>
      </w:r>
    </w:p>
    <w:p w14:paraId="2138D55F">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Besides, in RAN2#128 meeting, a LS was sent to RAN4 and RAN1 about soft satellite switch [2], we give our analysis on this LS.</w:t>
      </w:r>
    </w:p>
    <w:p w14:paraId="12B3A09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5" w:name="_Hlk70326378"/>
      <w:bookmarkStart w:id="6" w:name="OLE_LINK1"/>
      <w:bookmarkStart w:id="7" w:name="OLE_LINK2"/>
      <w:r>
        <w:rPr>
          <w:rFonts w:ascii="Times New Roman" w:hAnsi="Times New Roman"/>
          <w:b w:val="0"/>
          <w:bCs w:val="0"/>
          <w:kern w:val="0"/>
          <w:sz w:val="36"/>
          <w:szCs w:val="36"/>
          <w:lang w:val="en-GB"/>
        </w:rPr>
        <w:t>D</w:t>
      </w:r>
      <w:r>
        <w:rPr>
          <w:rFonts w:hint="eastAsia" w:ascii="Times New Roman" w:hAnsi="Times New Roman"/>
          <w:b w:val="0"/>
          <w:bCs w:val="0"/>
          <w:kern w:val="0"/>
          <w:sz w:val="36"/>
          <w:szCs w:val="36"/>
          <w:lang w:val="en-GB"/>
        </w:rPr>
        <w:t>iscussion</w:t>
      </w:r>
    </w:p>
    <w:p w14:paraId="2B4B95D0">
      <w:pPr>
        <w:rPr>
          <w:rFonts w:eastAsia="宋体"/>
          <w:b/>
          <w:i/>
          <w:iCs/>
          <w:sz w:val="20"/>
          <w:szCs w:val="20"/>
          <w:u w:val="single"/>
          <w:lang w:val="en-GB" w:eastAsia="ko-KR"/>
        </w:rPr>
      </w:pPr>
      <w:bookmarkStart w:id="8" w:name="OLE_LINK16"/>
      <w:r>
        <w:rPr>
          <w:rFonts w:eastAsia="宋体"/>
          <w:b/>
          <w:i/>
          <w:iCs/>
          <w:sz w:val="20"/>
          <w:szCs w:val="20"/>
          <w:u w:val="single"/>
          <w:lang w:val="en-GB" w:eastAsia="ko-KR"/>
        </w:rPr>
        <w:t>Issue 5-2-S: Soft Satellite switch</w:t>
      </w:r>
    </w:p>
    <w:p w14:paraId="49BE5503">
      <w:pPr>
        <w:keepNext w:val="0"/>
        <w:keepLines w:val="0"/>
        <w:pageBreakBefore w:val="0"/>
        <w:widowControl/>
        <w:kinsoku/>
        <w:wordWrap/>
        <w:topLinePunct w:val="0"/>
        <w:bidi w:val="0"/>
        <w:snapToGrid/>
        <w:spacing w:after="60"/>
        <w:rPr>
          <w:rFonts w:eastAsia="宋体"/>
          <w:b/>
          <w:bCs/>
          <w:i/>
          <w:iCs/>
          <w:sz w:val="20"/>
          <w:szCs w:val="20"/>
          <w:highlight w:val="yellow"/>
          <w:lang w:val="en-GB" w:eastAsia="ja-JP"/>
        </w:rPr>
      </w:pPr>
      <w:r>
        <w:rPr>
          <w:rFonts w:eastAsia="宋体"/>
          <w:b/>
          <w:bCs/>
          <w:i/>
          <w:iCs/>
          <w:sz w:val="20"/>
          <w:szCs w:val="20"/>
          <w:highlight w:val="yellow"/>
          <w:lang w:val="en-GB" w:eastAsia="ja-JP"/>
        </w:rPr>
        <w:t>FFS:</w:t>
      </w:r>
    </w:p>
    <w:p w14:paraId="148772CB">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highlight w:val="none"/>
          <w:lang w:val="en-US" w:eastAsia="ja-JP"/>
        </w:rPr>
      </w:pPr>
      <w:r>
        <w:rPr>
          <w:rFonts w:eastAsia="宋体"/>
          <w:i/>
          <w:iCs/>
          <w:sz w:val="20"/>
          <w:szCs w:val="24"/>
          <w:highlight w:val="none"/>
          <w:lang w:val="en-US" w:eastAsia="ja-JP"/>
        </w:rPr>
        <w:t>A UE that supports soft satellite switching shall mandatorily support parallelMeasurementWithoutRestriction-r17.</w:t>
      </w:r>
    </w:p>
    <w:bookmarkEnd w:id="8"/>
    <w:p w14:paraId="0AE059AA">
      <w:pPr>
        <w:keepNext w:val="0"/>
        <w:keepLines w:val="0"/>
        <w:pageBreakBefore w:val="0"/>
        <w:widowControl/>
        <w:tabs>
          <w:tab w:val="left" w:pos="1134"/>
        </w:tabs>
        <w:kinsoku/>
        <w:wordWrap/>
        <w:overflowPunct/>
        <w:topLinePunct w:val="0"/>
        <w:autoSpaceDE/>
        <w:autoSpaceDN/>
        <w:bidi w:val="0"/>
        <w:adjustRightInd/>
        <w:snapToGrid/>
        <w:spacing w:before="60" w:line="240" w:lineRule="auto"/>
        <w:jc w:val="both"/>
        <w:textAlignment w:val="auto"/>
        <w:rPr>
          <w:rFonts w:hint="eastAsia"/>
          <w:sz w:val="20"/>
          <w:szCs w:val="20"/>
          <w:lang w:val="en-US" w:eastAsia="zh-CN"/>
        </w:rPr>
      </w:pPr>
      <w:bookmarkStart w:id="9" w:name="_Hlk166676935"/>
      <w:r>
        <w:rPr>
          <w:rFonts w:hint="eastAsia"/>
          <w:sz w:val="20"/>
          <w:szCs w:val="20"/>
          <w:lang w:val="en-US" w:eastAsia="zh-CN"/>
        </w:rPr>
        <w:t>We don</w:t>
      </w:r>
      <w:r>
        <w:rPr>
          <w:rFonts w:hint="default"/>
          <w:sz w:val="20"/>
          <w:szCs w:val="20"/>
          <w:lang w:val="en-US" w:eastAsia="zh-CN"/>
        </w:rPr>
        <w:t>’</w:t>
      </w:r>
      <w:r>
        <w:rPr>
          <w:rFonts w:hint="eastAsia"/>
          <w:sz w:val="20"/>
          <w:szCs w:val="20"/>
          <w:lang w:val="en-US" w:eastAsia="zh-CN"/>
        </w:rPr>
        <w:t>t support the introduction of UE capability bundling with following reasons:</w:t>
      </w:r>
    </w:p>
    <w:p w14:paraId="59DF22C9">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line="240" w:lineRule="auto"/>
        <w:jc w:val="both"/>
        <w:textAlignment w:val="auto"/>
        <w:rPr>
          <w:rFonts w:hint="eastAsia" w:cs="Times New Roman"/>
          <w:sz w:val="20"/>
          <w:szCs w:val="20"/>
          <w:lang w:val="en-US" w:eastAsia="zh-CN"/>
        </w:rPr>
      </w:pPr>
      <w:r>
        <w:rPr>
          <w:rFonts w:hint="eastAsia"/>
          <w:sz w:val="20"/>
          <w:szCs w:val="20"/>
          <w:lang w:val="en-US" w:eastAsia="zh-CN"/>
        </w:rPr>
        <w:t>The network is still workable without UE capability bundling. The duration of the scheduling restriction from network side depends on the maximum propagation delay difference between source cell and target cell, which further depends on the practical network scenario. The worst case is that the source cell could not schedule any data transmission during the whole period between t-SeviceStart and t-Service. However, the time duration between t-ServiceStart and t-Service is configured by network, and typically, this time duration is short. The throughput loss is tolerable.</w:t>
      </w:r>
    </w:p>
    <w:p w14:paraId="187C9479">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There is no relation between soft satellite switching capability and parallelMeasurementWithoutRestriction capability. Therefore, it is feasible that UE supports soft satellite switching capability but not support parallelMeasurementWithoutRestriction-r17. For this kind of UE, if network fail to use soft satellite switching due to no idea of scheduling, then network can configure hard satellite switching with resynchronization, same effect as limiting UE support for soft satellite switching capability by the mandatory condition of supporting </w:t>
      </w:r>
      <w:r>
        <w:rPr>
          <w:rFonts w:hint="eastAsia" w:cs="Times New Roman"/>
          <w:sz w:val="20"/>
          <w:szCs w:val="20"/>
          <w:lang w:val="en-US" w:eastAsia="ja-JP"/>
        </w:rPr>
        <w:t>parallelMeasurementWithoutRestriction-r17</w:t>
      </w:r>
      <w:r>
        <w:rPr>
          <w:rFonts w:hint="eastAsia" w:cs="Times New Roman"/>
          <w:sz w:val="20"/>
          <w:szCs w:val="20"/>
          <w:lang w:val="en-US" w:eastAsia="zh-CN"/>
        </w:rPr>
        <w:t xml:space="preserve">, but depends on network decision. From UE side, </w:t>
      </w:r>
      <w:r>
        <w:rPr>
          <w:rFonts w:hint="eastAsia"/>
          <w:sz w:val="20"/>
          <w:szCs w:val="20"/>
          <w:lang w:val="en-US" w:eastAsia="zh-CN"/>
        </w:rPr>
        <w:t>the feature will be less attractive if UE capability bundling is considered.</w:t>
      </w:r>
    </w:p>
    <w:p w14:paraId="5C700CB1">
      <w:pPr>
        <w:keepNext w:val="0"/>
        <w:keepLines w:val="0"/>
        <w:pageBreakBefore w:val="0"/>
        <w:widowControl/>
        <w:kinsoku/>
        <w:wordWrap/>
        <w:overflowPunct w:val="0"/>
        <w:topLinePunct w:val="0"/>
        <w:autoSpaceDE w:val="0"/>
        <w:autoSpaceDN w:val="0"/>
        <w:bidi w:val="0"/>
        <w:adjustRightInd w:val="0"/>
        <w:snapToGrid/>
        <w:spacing w:before="60"/>
        <w:jc w:val="both"/>
        <w:textAlignment w:val="auto"/>
        <w:rPr>
          <w:rFonts w:hint="default"/>
          <w:b/>
          <w:bCs/>
          <w:i/>
          <w:iCs/>
          <w:sz w:val="20"/>
          <w:szCs w:val="20"/>
          <w:lang w:val="en-US" w:eastAsia="zh-CN"/>
        </w:rPr>
      </w:pPr>
      <w:r>
        <w:rPr>
          <w:rFonts w:hint="eastAsia"/>
          <w:b/>
          <w:bCs/>
          <w:i/>
          <w:iCs/>
          <w:sz w:val="20"/>
          <w:szCs w:val="20"/>
          <w:lang w:val="en-US" w:eastAsia="zh-CN"/>
        </w:rPr>
        <w:t>Proposal 1</w:t>
      </w:r>
      <w:r>
        <w:rPr>
          <w:b/>
          <w:bCs/>
          <w:i/>
          <w:iCs/>
          <w:sz w:val="20"/>
          <w:szCs w:val="20"/>
        </w:rPr>
        <w:t>:</w:t>
      </w:r>
      <w:r>
        <w:rPr>
          <w:rFonts w:hint="eastAsia"/>
          <w:b/>
          <w:bCs/>
          <w:i/>
          <w:iCs/>
          <w:sz w:val="20"/>
          <w:szCs w:val="20"/>
          <w:lang w:val="en-US" w:eastAsia="zh-CN"/>
        </w:rPr>
        <w:t xml:space="preserve"> Don</w:t>
      </w:r>
      <w:r>
        <w:rPr>
          <w:rFonts w:hint="default"/>
          <w:b/>
          <w:bCs/>
          <w:i/>
          <w:iCs/>
          <w:sz w:val="20"/>
          <w:szCs w:val="20"/>
          <w:lang w:val="en-US" w:eastAsia="zh-CN"/>
        </w:rPr>
        <w:t>’</w:t>
      </w:r>
      <w:r>
        <w:rPr>
          <w:rFonts w:hint="eastAsia"/>
          <w:b/>
          <w:bCs/>
          <w:i/>
          <w:iCs/>
          <w:sz w:val="20"/>
          <w:szCs w:val="20"/>
          <w:lang w:val="en-US" w:eastAsia="zh-CN"/>
        </w:rPr>
        <w:t>t consider UE capability bundling for satellite switching with re-synchronization.</w:t>
      </w:r>
    </w:p>
    <w:p w14:paraId="1E36AB04">
      <w:pPr>
        <w:rPr>
          <w:rFonts w:eastAsia="宋体"/>
          <w:b/>
          <w:i/>
          <w:iCs/>
          <w:sz w:val="20"/>
          <w:szCs w:val="20"/>
          <w:u w:val="single"/>
          <w:lang w:val="en-GB" w:eastAsia="ko-KR"/>
        </w:rPr>
      </w:pPr>
    </w:p>
    <w:p w14:paraId="14B655BD">
      <w:pPr>
        <w:rPr>
          <w:rFonts w:hint="eastAsia" w:eastAsia="宋体"/>
          <w:b/>
          <w:i/>
          <w:iCs/>
          <w:sz w:val="20"/>
          <w:szCs w:val="20"/>
          <w:u w:val="single"/>
          <w:lang w:val="en-US" w:eastAsia="zh-CN"/>
        </w:rPr>
      </w:pPr>
      <w:r>
        <w:rPr>
          <w:rFonts w:hint="eastAsia" w:eastAsia="宋体"/>
          <w:b/>
          <w:i/>
          <w:iCs/>
          <w:sz w:val="20"/>
          <w:szCs w:val="20"/>
          <w:u w:val="single"/>
          <w:lang w:val="en-US" w:eastAsia="zh-CN"/>
        </w:rPr>
        <w:t>LS from RAN2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3B4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9C947B1">
            <w:pPr>
              <w:pStyle w:val="18"/>
              <w:rPr>
                <w:rFonts w:cs="Arial" w:eastAsiaTheme="minorEastAsia"/>
                <w:b w:val="0"/>
                <w:sz w:val="20"/>
                <w:lang w:eastAsia="zh-CN"/>
              </w:rPr>
            </w:pPr>
            <w:r>
              <w:rPr>
                <w:rFonts w:cs="Arial" w:eastAsiaTheme="minorEastAsia"/>
                <w:b w:val="0"/>
                <w:sz w:val="20"/>
                <w:lang w:eastAsia="zh-CN"/>
              </w:rPr>
              <w:t>For soft satellite switching with re-synchronization, to ensure non-colliding SSB with same PCI at the UE side, RAN2 has discussed one possible solution to introduce a temporarily shifted SSB pattern during [t-ServiceStart, t-Service].</w:t>
            </w:r>
            <w:r>
              <w:rPr>
                <w:rFonts w:hint="eastAsia" w:cs="Arial" w:eastAsiaTheme="minorEastAsia"/>
                <w:b w:val="0"/>
                <w:sz w:val="20"/>
                <w:lang w:eastAsia="zh-CN"/>
              </w:rPr>
              <w:t xml:space="preserve"> </w:t>
            </w:r>
            <w:r>
              <w:rPr>
                <w:rFonts w:cs="Arial" w:eastAsiaTheme="minorEastAsia"/>
                <w:b w:val="0"/>
                <w:sz w:val="20"/>
                <w:lang w:eastAsia="zh-CN"/>
              </w:rPr>
              <w:t>To be specific, the target satellite transmits SSB during [t-ServiceStart, t-Service] which is not overlapping with SSB from the source satellite. At t-Service, the new serving satellite SSB pattern (e.g., SSB offset) is restored to the same as the previous source satellite.</w:t>
            </w:r>
          </w:p>
          <w:p w14:paraId="72215270">
            <w:pPr>
              <w:pStyle w:val="18"/>
              <w:rPr>
                <w:rFonts w:cs="Arial" w:eastAsiaTheme="minorEastAsia"/>
                <w:b w:val="0"/>
                <w:sz w:val="20"/>
                <w:lang w:eastAsia="zh-CN"/>
              </w:rPr>
            </w:pPr>
          </w:p>
          <w:p w14:paraId="427B00A3">
            <w:pPr>
              <w:spacing w:after="0"/>
              <w:jc w:val="both"/>
              <w:rPr>
                <w:rFonts w:hint="default" w:ascii="Times New Roman" w:hAnsi="Times New Roman" w:cs="Times New Roman" w:eastAsiaTheme="minorEastAsia"/>
                <w:bCs/>
                <w:sz w:val="20"/>
                <w:szCs w:val="20"/>
                <w:lang w:val="en-US" w:eastAsia="zh-CN"/>
              </w:rPr>
            </w:pPr>
            <w:r>
              <w:rPr>
                <w:rFonts w:hint="default" w:ascii="Times New Roman" w:hAnsi="Times New Roman" w:cs="Times New Roman" w:eastAsiaTheme="minorEastAsia"/>
                <w:bCs/>
                <w:sz w:val="20"/>
                <w:szCs w:val="20"/>
                <w:lang w:val="en-US" w:eastAsia="zh-CN"/>
              </w:rPr>
              <w:t>RAN2 wonders whether the pre-acquired DL synchronization started between [t-ServiceStart, t-Service] with target satellite can be assumed as maintained if the SSB pattern (e.g., SSB offset) is changed (determined by ssb-TimeOffset) at t-Service.</w:t>
            </w:r>
          </w:p>
          <w:p w14:paraId="03D4518C">
            <w:pPr>
              <w:pStyle w:val="18"/>
              <w:jc w:val="both"/>
              <w:rPr>
                <w:rFonts w:hint="default" w:ascii="Times New Roman" w:hAnsi="Times New Roman" w:cs="Times New Roman"/>
                <w:b w:val="0"/>
                <w:sz w:val="20"/>
                <w:szCs w:val="20"/>
                <w:lang w:val="en-US" w:eastAsia="zh-CN"/>
              </w:rPr>
            </w:pPr>
          </w:p>
          <w:p w14:paraId="217FAE81">
            <w:pPr>
              <w:spacing w:after="120"/>
              <w:outlineLvl w:val="0"/>
              <w:rPr>
                <w:rFonts w:hint="default" w:ascii="Times New Roman" w:hAnsi="Times New Roman" w:cs="Times New Roman"/>
                <w:b/>
                <w:sz w:val="20"/>
                <w:szCs w:val="20"/>
              </w:rPr>
            </w:pPr>
            <w:r>
              <w:rPr>
                <w:rFonts w:hint="default" w:ascii="Times New Roman" w:hAnsi="Times New Roman" w:cs="Times New Roman"/>
                <w:b/>
                <w:sz w:val="20"/>
                <w:szCs w:val="20"/>
              </w:rPr>
              <w:t>2. Actions:</w:t>
            </w:r>
          </w:p>
          <w:p w14:paraId="3A5661DB">
            <w:pPr>
              <w:spacing w:after="120"/>
              <w:ind w:left="1985" w:hanging="1985"/>
              <w:rPr>
                <w:rFonts w:hint="default" w:ascii="Times New Roman" w:hAnsi="Times New Roman" w:cs="Times New Roman"/>
                <w:b/>
                <w:sz w:val="20"/>
                <w:szCs w:val="20"/>
              </w:rPr>
            </w:pPr>
            <w:r>
              <w:rPr>
                <w:rFonts w:hint="default" w:ascii="Times New Roman" w:hAnsi="Times New Roman" w:cs="Times New Roman"/>
                <w:b/>
                <w:sz w:val="20"/>
                <w:szCs w:val="20"/>
              </w:rPr>
              <w:t xml:space="preserve">To </w:t>
            </w:r>
            <w:r>
              <w:rPr>
                <w:rFonts w:hint="default" w:ascii="Times New Roman" w:hAnsi="Times New Roman" w:cs="Times New Roman"/>
                <w:b/>
                <w:sz w:val="20"/>
                <w:szCs w:val="20"/>
                <w:lang w:val="en-US" w:eastAsia="zh-CN"/>
              </w:rPr>
              <w:t>RAN4, RAN1</w:t>
            </w:r>
          </w:p>
          <w:p w14:paraId="1EF4E3FB">
            <w:pPr>
              <w:spacing w:after="120"/>
              <w:ind w:left="993" w:hanging="993"/>
              <w:rPr>
                <w:rFonts w:hint="default" w:ascii="Times New Roman" w:hAnsi="Times New Roman" w:cs="Times New Roman"/>
                <w:i/>
                <w:iCs/>
                <w:sz w:val="20"/>
                <w:szCs w:val="20"/>
                <w:lang w:val="en-US"/>
              </w:rPr>
            </w:pPr>
            <w:r>
              <w:rPr>
                <w:rFonts w:hint="default" w:ascii="Times New Roman" w:hAnsi="Times New Roman" w:cs="Times New Roman"/>
                <w:b/>
                <w:sz w:val="20"/>
                <w:szCs w:val="20"/>
              </w:rPr>
              <w:t xml:space="preserve">ACTION: </w:t>
            </w:r>
            <w:r>
              <w:rPr>
                <w:rFonts w:hint="default" w:ascii="Times New Roman" w:hAnsi="Times New Roman" w:cs="Times New Roman"/>
                <w:b/>
                <w:sz w:val="20"/>
                <w:szCs w:val="20"/>
              </w:rPr>
              <w:tab/>
            </w:r>
            <w:r>
              <w:rPr>
                <w:rFonts w:hint="default" w:ascii="Times New Roman" w:hAnsi="Times New Roman" w:cs="Times New Roman"/>
                <w:sz w:val="20"/>
                <w:szCs w:val="20"/>
              </w:rPr>
              <w:t xml:space="preserve">RAN2 kindly asks </w:t>
            </w:r>
            <w:r>
              <w:rPr>
                <w:rFonts w:hint="default" w:ascii="Times New Roman" w:hAnsi="Times New Roman" w:cs="Times New Roman"/>
                <w:sz w:val="20"/>
                <w:szCs w:val="20"/>
                <w:lang w:val="en-US" w:eastAsia="zh-CN"/>
              </w:rPr>
              <w:t xml:space="preserve">RAN4 and RAN1 </w:t>
            </w:r>
            <w:r>
              <w:rPr>
                <w:rFonts w:hint="default" w:ascii="Times New Roman" w:hAnsi="Times New Roman" w:cs="Times New Roman" w:eastAsiaTheme="minorEastAsia"/>
                <w:bCs/>
                <w:sz w:val="20"/>
                <w:szCs w:val="20"/>
                <w:lang w:val="en-US" w:eastAsia="zh-CN"/>
              </w:rPr>
              <w:t>whether the pre-acquired DL synchronization started between [t-ServiceStart, t-Service] with target satellite can be assumed as maintained if the SSB pattern (e.g., SSB offset) is changed (determined by ssb-TimeOffset) at t-Service.</w:t>
            </w:r>
          </w:p>
          <w:p w14:paraId="0FF938FB">
            <w:pPr>
              <w:rPr>
                <w:rFonts w:hint="default" w:eastAsia="宋体"/>
                <w:b/>
                <w:i/>
                <w:iCs/>
                <w:sz w:val="20"/>
                <w:szCs w:val="20"/>
                <w:u w:val="single"/>
                <w:vertAlign w:val="baseline"/>
                <w:lang w:val="en-US" w:eastAsia="zh-CN"/>
              </w:rPr>
            </w:pPr>
          </w:p>
        </w:tc>
      </w:tr>
    </w:tbl>
    <w:p w14:paraId="0D371042">
      <w:pPr>
        <w:keepNext w:val="0"/>
        <w:keepLines w:val="0"/>
        <w:pageBreakBefore w:val="0"/>
        <w:widowControl/>
        <w:tabs>
          <w:tab w:val="left" w:pos="1134"/>
        </w:tabs>
        <w:kinsoku/>
        <w:wordWrap/>
        <w:overflowPunct/>
        <w:topLinePunct w:val="0"/>
        <w:autoSpaceDE/>
        <w:autoSpaceDN/>
        <w:bidi w:val="0"/>
        <w:adjustRightInd/>
        <w:snapToGrid/>
        <w:spacing w:before="60" w:line="240" w:lineRule="auto"/>
        <w:jc w:val="both"/>
        <w:textAlignment w:val="auto"/>
        <w:rPr>
          <w:rFonts w:hint="eastAsia" w:cs="Times New Roman"/>
          <w:bCs/>
          <w:sz w:val="20"/>
          <w:szCs w:val="20"/>
          <w:lang w:val="en-US" w:eastAsia="zh-CN"/>
        </w:rPr>
      </w:pPr>
      <w:r>
        <w:rPr>
          <w:rFonts w:hint="eastAsia"/>
          <w:sz w:val="20"/>
          <w:szCs w:val="20"/>
          <w:lang w:val="en-US" w:eastAsia="zh-CN"/>
        </w:rPr>
        <w:t xml:space="preserve">In order to guarantee “non-colliding SSB with same PCI at UE side” during t-ServiceStart and t-Service, and no SMTC reconfiguration after t-Service, RAN2 agreed one possible solution which introducing a temporarily shifted SSB pattern during [t-ServiceStart, t-Service]. RAN4 should further investigated whether the </w:t>
      </w:r>
      <w:r>
        <w:rPr>
          <w:rFonts w:hint="default" w:ascii="Times New Roman" w:hAnsi="Times New Roman" w:cs="Times New Roman" w:eastAsiaTheme="minorEastAsia"/>
          <w:bCs/>
          <w:sz w:val="20"/>
          <w:szCs w:val="20"/>
          <w:lang w:val="en-US" w:eastAsia="zh-CN"/>
        </w:rPr>
        <w:t>pre-acquired DL synchronization started between [t-ServiceStart, t-Service] with target satellite can be assumed as maintained if the SSB pattern (e.g., SSB offset) is changed (determined by ssb-TimeOffset) at t-Service</w:t>
      </w:r>
      <w:r>
        <w:rPr>
          <w:rFonts w:hint="eastAsia" w:cs="Times New Roman"/>
          <w:bCs/>
          <w:sz w:val="20"/>
          <w:szCs w:val="20"/>
          <w:lang w:val="en-US" w:eastAsia="zh-CN"/>
        </w:rPr>
        <w:t>.</w:t>
      </w:r>
    </w:p>
    <w:p w14:paraId="537390B8">
      <w:pPr>
        <w:keepNext w:val="0"/>
        <w:keepLines w:val="0"/>
        <w:pageBreakBefore w:val="0"/>
        <w:widowControl/>
        <w:tabs>
          <w:tab w:val="left" w:pos="1134"/>
        </w:tabs>
        <w:kinsoku/>
        <w:wordWrap/>
        <w:overflowPunct/>
        <w:topLinePunct w:val="0"/>
        <w:autoSpaceDE/>
        <w:autoSpaceDN/>
        <w:bidi w:val="0"/>
        <w:adjustRightInd/>
        <w:snapToGrid/>
        <w:spacing w:before="60" w:line="240" w:lineRule="auto"/>
        <w:jc w:val="both"/>
        <w:textAlignment w:val="auto"/>
        <w:rPr>
          <w:rFonts w:hint="eastAsia" w:cs="Times New Roman"/>
          <w:bCs/>
          <w:sz w:val="20"/>
          <w:szCs w:val="20"/>
          <w:lang w:val="en-US" w:eastAsia="zh-CN"/>
        </w:rPr>
      </w:pPr>
      <w:r>
        <w:rPr>
          <w:rFonts w:hint="eastAsia" w:cs="Times New Roman"/>
          <w:bCs/>
          <w:sz w:val="20"/>
          <w:szCs w:val="20"/>
          <w:lang w:val="en-US" w:eastAsia="zh-CN"/>
        </w:rPr>
        <w:t>Following the methodology designed by RAN2, an example of the transmitted SSBs at source cell and target cell is illustrated in the figure below:</w:t>
      </w:r>
    </w:p>
    <w:p w14:paraId="3ECA53CE">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center"/>
        <w:textAlignment w:val="auto"/>
        <w:rPr>
          <w:rFonts w:hint="default" w:cs="Times New Roman"/>
          <w:bCs/>
          <w:sz w:val="20"/>
          <w:szCs w:val="20"/>
          <w:lang w:val="en-US" w:eastAsia="zh-CN"/>
        </w:rPr>
      </w:pPr>
      <w:r>
        <w:drawing>
          <wp:inline distT="0" distB="0" distL="114300" distR="114300">
            <wp:extent cx="3866515" cy="1989455"/>
            <wp:effectExtent l="0" t="0" r="698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866515" cy="1989455"/>
                    </a:xfrm>
                    <a:prstGeom prst="rect">
                      <a:avLst/>
                    </a:prstGeom>
                    <a:noFill/>
                    <a:ln>
                      <a:noFill/>
                    </a:ln>
                  </pic:spPr>
                </pic:pic>
              </a:graphicData>
            </a:graphic>
          </wp:inline>
        </w:drawing>
      </w:r>
    </w:p>
    <w:p w14:paraId="573E9B36">
      <w:pPr>
        <w:keepNext w:val="0"/>
        <w:keepLines w:val="0"/>
        <w:pageBreakBefore w:val="0"/>
        <w:widowControl/>
        <w:tabs>
          <w:tab w:val="left" w:pos="1134"/>
        </w:tabs>
        <w:kinsoku/>
        <w:wordWrap/>
        <w:overflowPunct/>
        <w:topLinePunct w:val="0"/>
        <w:autoSpaceDE/>
        <w:autoSpaceDN/>
        <w:bidi w:val="0"/>
        <w:adjustRightInd/>
        <w:snapToGrid/>
        <w:spacing w:before="60" w:line="240" w:lineRule="auto"/>
        <w:jc w:val="both"/>
        <w:textAlignment w:val="auto"/>
        <w:rPr>
          <w:rFonts w:hint="eastAsia" w:cs="Times New Roman"/>
          <w:bCs/>
          <w:sz w:val="20"/>
          <w:szCs w:val="20"/>
          <w:lang w:val="en-US" w:eastAsia="zh-CN"/>
        </w:rPr>
      </w:pPr>
      <w:r>
        <w:rPr>
          <w:rFonts w:hint="eastAsia" w:cs="Times New Roman"/>
          <w:bCs/>
          <w:sz w:val="20"/>
          <w:szCs w:val="20"/>
          <w:lang w:val="en-US" w:eastAsia="zh-CN"/>
        </w:rPr>
        <w:t xml:space="preserve">In our understanding, as long as UE is knowledge of this </w:t>
      </w:r>
      <w:r>
        <w:rPr>
          <w:rFonts w:hint="default" w:cs="Times New Roman"/>
          <w:bCs/>
          <w:sz w:val="20"/>
          <w:szCs w:val="20"/>
          <w:lang w:val="en-US" w:eastAsia="zh-CN"/>
        </w:rPr>
        <w:t>‘</w:t>
      </w:r>
      <w:r>
        <w:rPr>
          <w:rFonts w:hint="eastAsia" w:cs="Times New Roman"/>
          <w:bCs/>
          <w:sz w:val="20"/>
          <w:szCs w:val="20"/>
          <w:lang w:val="en-US" w:eastAsia="zh-CN"/>
        </w:rPr>
        <w:t>shifted SSB pattern</w:t>
      </w:r>
      <w:r>
        <w:rPr>
          <w:rFonts w:hint="default" w:cs="Times New Roman"/>
          <w:bCs/>
          <w:sz w:val="20"/>
          <w:szCs w:val="20"/>
          <w:lang w:val="en-US" w:eastAsia="zh-CN"/>
        </w:rPr>
        <w:t>’</w:t>
      </w:r>
      <w:r>
        <w:rPr>
          <w:rFonts w:hint="eastAsia" w:cs="Times New Roman"/>
          <w:bCs/>
          <w:sz w:val="20"/>
          <w:szCs w:val="20"/>
          <w:lang w:val="en-US" w:eastAsia="zh-CN"/>
        </w:rPr>
        <w:t xml:space="preserve"> mechanism, during </w:t>
      </w:r>
      <w:r>
        <w:rPr>
          <w:rFonts w:hint="eastAsia"/>
          <w:sz w:val="20"/>
          <w:szCs w:val="20"/>
          <w:lang w:val="en-US" w:eastAsia="zh-CN"/>
        </w:rPr>
        <w:t>[t-ServiceStart, t-Service],</w:t>
      </w:r>
      <w:r>
        <w:rPr>
          <w:rFonts w:hint="eastAsia" w:cs="Times New Roman"/>
          <w:bCs/>
          <w:sz w:val="20"/>
          <w:szCs w:val="20"/>
          <w:lang w:val="en-US" w:eastAsia="zh-CN"/>
        </w:rPr>
        <w:t xml:space="preserve"> UE could finish the target cell synchronization by using:</w:t>
      </w:r>
    </w:p>
    <w:p w14:paraId="3E072E8F">
      <w:pPr>
        <w:keepNext w:val="0"/>
        <w:keepLines w:val="0"/>
        <w:pageBreakBefore w:val="0"/>
        <w:widowControl/>
        <w:numPr>
          <w:ilvl w:val="0"/>
          <w:numId w:val="6"/>
        </w:numPr>
        <w:tabs>
          <w:tab w:val="center" w:pos="420"/>
        </w:tabs>
        <w:kinsoku/>
        <w:wordWrap/>
        <w:overflowPunct/>
        <w:topLinePunct w:val="0"/>
        <w:autoSpaceDE/>
        <w:autoSpaceDN/>
        <w:bidi w:val="0"/>
        <w:adjustRightInd/>
        <w:snapToGrid/>
        <w:spacing w:before="60" w:line="240" w:lineRule="auto"/>
        <w:ind w:left="420" w:leftChars="0" w:hanging="420" w:firstLineChars="0"/>
        <w:jc w:val="both"/>
        <w:textAlignment w:val="auto"/>
        <w:rPr>
          <w:rFonts w:hint="default" w:cs="Times New Roman"/>
          <w:bCs/>
          <w:sz w:val="20"/>
          <w:szCs w:val="20"/>
          <w:lang w:val="en-US" w:eastAsia="zh-CN"/>
        </w:rPr>
      </w:pPr>
      <w:r>
        <w:rPr>
          <w:rFonts w:hint="eastAsia" w:cs="Times New Roman"/>
          <w:bCs/>
          <w:sz w:val="20"/>
          <w:szCs w:val="20"/>
          <w:lang w:val="en-US" w:eastAsia="zh-CN"/>
        </w:rPr>
        <w:t>the periodicity and location of SSB of the source satellite;</w:t>
      </w:r>
    </w:p>
    <w:p w14:paraId="27744BE6">
      <w:pPr>
        <w:keepNext w:val="0"/>
        <w:keepLines w:val="0"/>
        <w:pageBreakBefore w:val="0"/>
        <w:widowControl/>
        <w:numPr>
          <w:ilvl w:val="0"/>
          <w:numId w:val="6"/>
        </w:numPr>
        <w:tabs>
          <w:tab w:val="center" w:pos="420"/>
        </w:tabs>
        <w:kinsoku/>
        <w:wordWrap/>
        <w:overflowPunct/>
        <w:topLinePunct w:val="0"/>
        <w:autoSpaceDE/>
        <w:autoSpaceDN/>
        <w:bidi w:val="0"/>
        <w:adjustRightInd/>
        <w:snapToGrid/>
        <w:spacing w:before="60" w:line="240" w:lineRule="auto"/>
        <w:ind w:left="420" w:leftChars="0" w:hanging="420" w:firstLineChars="0"/>
        <w:jc w:val="both"/>
        <w:textAlignment w:val="auto"/>
        <w:rPr>
          <w:rFonts w:hint="default" w:cs="Times New Roman"/>
          <w:bCs/>
          <w:sz w:val="20"/>
          <w:szCs w:val="20"/>
          <w:lang w:val="en-US" w:eastAsia="zh-CN"/>
        </w:rPr>
      </w:pPr>
      <w:r>
        <w:rPr>
          <w:rFonts w:hint="eastAsia" w:cs="Times New Roman"/>
          <w:bCs/>
          <w:sz w:val="20"/>
          <w:szCs w:val="20"/>
          <w:lang w:val="en-US" w:eastAsia="zh-CN"/>
        </w:rPr>
        <w:t>the ssb-TimeOffset;</w:t>
      </w:r>
    </w:p>
    <w:p w14:paraId="5E1CF194">
      <w:pPr>
        <w:keepNext w:val="0"/>
        <w:keepLines w:val="0"/>
        <w:pageBreakBefore w:val="0"/>
        <w:widowControl/>
        <w:numPr>
          <w:ilvl w:val="0"/>
          <w:numId w:val="6"/>
        </w:numPr>
        <w:tabs>
          <w:tab w:val="center" w:pos="420"/>
        </w:tabs>
        <w:kinsoku/>
        <w:wordWrap/>
        <w:overflowPunct/>
        <w:topLinePunct w:val="0"/>
        <w:autoSpaceDE/>
        <w:autoSpaceDN/>
        <w:bidi w:val="0"/>
        <w:adjustRightInd/>
        <w:snapToGrid/>
        <w:spacing w:before="60" w:line="240" w:lineRule="auto"/>
        <w:ind w:left="420" w:leftChars="0" w:hanging="420" w:firstLineChars="0"/>
        <w:jc w:val="both"/>
        <w:textAlignment w:val="auto"/>
        <w:rPr>
          <w:rFonts w:hint="default" w:cs="Times New Roman"/>
          <w:bCs/>
          <w:sz w:val="20"/>
          <w:szCs w:val="20"/>
          <w:lang w:val="en-US" w:eastAsia="zh-CN"/>
        </w:rPr>
      </w:pPr>
      <w:r>
        <w:rPr>
          <w:rFonts w:hint="eastAsia" w:cs="Times New Roman"/>
          <w:bCs/>
          <w:sz w:val="20"/>
          <w:szCs w:val="20"/>
          <w:lang w:val="en-US" w:eastAsia="zh-CN"/>
        </w:rPr>
        <w:t>the difference between propagation delay of the serving satellite and the target satellite counted from the [SSB-TimeOffset reference point as defined in 38.331 [2]] to UE;</w:t>
      </w:r>
    </w:p>
    <w:p w14:paraId="73697CDE">
      <w:pPr>
        <w:keepNext w:val="0"/>
        <w:keepLines w:val="0"/>
        <w:pageBreakBefore w:val="0"/>
        <w:widowControl/>
        <w:tabs>
          <w:tab w:val="left" w:pos="1134"/>
        </w:tabs>
        <w:kinsoku/>
        <w:wordWrap/>
        <w:overflowPunct/>
        <w:topLinePunct w:val="0"/>
        <w:autoSpaceDE/>
        <w:autoSpaceDN/>
        <w:bidi w:val="0"/>
        <w:adjustRightInd/>
        <w:snapToGrid/>
        <w:spacing w:before="60" w:line="240" w:lineRule="auto"/>
        <w:jc w:val="both"/>
        <w:textAlignment w:val="auto"/>
        <w:rPr>
          <w:rFonts w:hint="default" w:cs="Times New Roman"/>
          <w:bCs/>
          <w:sz w:val="20"/>
          <w:szCs w:val="20"/>
          <w:lang w:val="en-US" w:eastAsia="zh-CN"/>
        </w:rPr>
      </w:pPr>
      <w:r>
        <w:rPr>
          <w:rFonts w:hint="eastAsia" w:cs="Times New Roman"/>
          <w:bCs/>
          <w:sz w:val="20"/>
          <w:szCs w:val="20"/>
          <w:lang w:val="en-US" w:eastAsia="zh-CN"/>
        </w:rPr>
        <w:t>After t-Service, since the system timing of target cell is unchanged, UE could maintain the synchronization, and found SSB/SMTC by using the RRC configuration of SSB and SMTC.</w:t>
      </w:r>
    </w:p>
    <w:p w14:paraId="6A92DAC1">
      <w:pPr>
        <w:keepNext w:val="0"/>
        <w:keepLines w:val="0"/>
        <w:pageBreakBefore w:val="0"/>
        <w:widowControl/>
        <w:kinsoku/>
        <w:wordWrap/>
        <w:overflowPunct w:val="0"/>
        <w:topLinePunct w:val="0"/>
        <w:autoSpaceDE w:val="0"/>
        <w:autoSpaceDN w:val="0"/>
        <w:bidi w:val="0"/>
        <w:adjustRightInd w:val="0"/>
        <w:snapToGrid/>
        <w:spacing w:before="60" w:after="120"/>
        <w:jc w:val="both"/>
        <w:textAlignment w:val="auto"/>
        <w:rPr>
          <w:rFonts w:hint="default"/>
          <w:b/>
          <w:bCs/>
          <w:i/>
          <w:iCs/>
          <w:sz w:val="20"/>
          <w:szCs w:val="20"/>
          <w:lang w:val="en-US" w:eastAsia="zh-CN"/>
        </w:rPr>
      </w:pPr>
      <w:r>
        <w:rPr>
          <w:rFonts w:hint="eastAsia"/>
          <w:b/>
          <w:bCs/>
          <w:i/>
          <w:iCs/>
          <w:sz w:val="20"/>
          <w:szCs w:val="20"/>
          <w:lang w:val="en-US" w:eastAsia="zh-CN"/>
        </w:rPr>
        <w:t>Proposal 2</w:t>
      </w:r>
      <w:r>
        <w:rPr>
          <w:b/>
          <w:bCs/>
          <w:i/>
          <w:iCs/>
          <w:sz w:val="20"/>
          <w:szCs w:val="20"/>
        </w:rPr>
        <w:t>:</w:t>
      </w:r>
      <w:r>
        <w:rPr>
          <w:rFonts w:hint="eastAsia"/>
          <w:b/>
          <w:bCs/>
          <w:i/>
          <w:iCs/>
          <w:sz w:val="20"/>
          <w:szCs w:val="20"/>
          <w:lang w:val="en-US" w:eastAsia="zh-CN"/>
        </w:rPr>
        <w:t xml:space="preserve"> The pre-acquired DL synchronization started between [t-ServiceStart, t-Service] with target satellite can be assumed as maintained if the SSB pattern (e.g., SSB offset) is changed (determined by ssb-TimeOffset) at t-Service.</w:t>
      </w:r>
    </w:p>
    <w:p w14:paraId="37FE84E6">
      <w:pPr>
        <w:rPr>
          <w:rFonts w:hint="default" w:eastAsia="宋体"/>
          <w:b/>
          <w:i/>
          <w:iCs/>
          <w:sz w:val="20"/>
          <w:szCs w:val="20"/>
          <w:u w:val="single"/>
          <w:lang w:val="en-US" w:eastAsia="zh-CN"/>
        </w:rPr>
      </w:pPr>
    </w:p>
    <w:bookmarkEnd w:id="5"/>
    <w:bookmarkEnd w:id="9"/>
    <w:p w14:paraId="0CE5E6EB">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53DD5246">
      <w:pPr>
        <w:spacing w:before="60"/>
        <w:jc w:val="both"/>
        <w:rPr>
          <w:sz w:val="20"/>
          <w:szCs w:val="20"/>
        </w:rPr>
      </w:pPr>
      <w:r>
        <w:rPr>
          <w:sz w:val="20"/>
          <w:szCs w:val="20"/>
        </w:rPr>
        <w:t xml:space="preserve">Based on the discussion above, the following proposals are concluded. </w:t>
      </w:r>
      <w:bookmarkEnd w:id="6"/>
      <w:bookmarkEnd w:id="7"/>
    </w:p>
    <w:p w14:paraId="75D0B6D2">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Proposal 1</w:t>
      </w:r>
      <w:r>
        <w:rPr>
          <w:b/>
          <w:bCs/>
          <w:i/>
          <w:iCs/>
          <w:sz w:val="20"/>
          <w:szCs w:val="20"/>
        </w:rPr>
        <w:t>:</w:t>
      </w:r>
      <w:r>
        <w:rPr>
          <w:rFonts w:hint="eastAsia"/>
          <w:b/>
          <w:bCs/>
          <w:i/>
          <w:iCs/>
          <w:sz w:val="20"/>
          <w:szCs w:val="20"/>
          <w:lang w:val="en-US" w:eastAsia="zh-CN"/>
        </w:rPr>
        <w:t xml:space="preserve"> Don</w:t>
      </w:r>
      <w:r>
        <w:rPr>
          <w:rFonts w:hint="default"/>
          <w:b/>
          <w:bCs/>
          <w:i/>
          <w:iCs/>
          <w:sz w:val="20"/>
          <w:szCs w:val="20"/>
          <w:lang w:val="en-US" w:eastAsia="zh-CN"/>
        </w:rPr>
        <w:t>’</w:t>
      </w:r>
      <w:r>
        <w:rPr>
          <w:rFonts w:hint="eastAsia"/>
          <w:b/>
          <w:bCs/>
          <w:i/>
          <w:iCs/>
          <w:sz w:val="20"/>
          <w:szCs w:val="20"/>
          <w:lang w:val="en-US" w:eastAsia="zh-CN"/>
        </w:rPr>
        <w:t>t consider UE capability bundling for satellite switching with re-synchronization.</w:t>
      </w:r>
    </w:p>
    <w:p w14:paraId="2E54A4DF">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Proposal 2</w:t>
      </w:r>
      <w:r>
        <w:rPr>
          <w:b/>
          <w:bCs/>
          <w:i/>
          <w:iCs/>
          <w:sz w:val="20"/>
          <w:szCs w:val="20"/>
        </w:rPr>
        <w:t>:</w:t>
      </w:r>
      <w:r>
        <w:rPr>
          <w:rFonts w:hint="eastAsia"/>
          <w:b/>
          <w:bCs/>
          <w:i/>
          <w:iCs/>
          <w:sz w:val="20"/>
          <w:szCs w:val="20"/>
          <w:lang w:val="en-US" w:eastAsia="zh-CN"/>
        </w:rPr>
        <w:t xml:space="preserve"> The pre-acquired DL synchronization started between [t-ServiceStart, t-Service] with target satellite can be assumed as maintained if the SSB pattern (e.g., SSB offset) is changed (determined by ssb-TimeOffset) at t-Service.</w:t>
      </w:r>
    </w:p>
    <w:p w14:paraId="0F22646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C640F21">
      <w:pPr>
        <w:numPr>
          <w:ilvl w:val="0"/>
          <w:numId w:val="7"/>
        </w:numPr>
        <w:rPr>
          <w:rFonts w:hint="eastAsia"/>
          <w:sz w:val="20"/>
          <w:szCs w:val="20"/>
          <w:lang w:val="en-GB" w:eastAsia="zh-CN"/>
        </w:rPr>
      </w:pPr>
      <w:r>
        <w:rPr>
          <w:rFonts w:hint="eastAsia"/>
          <w:sz w:val="20"/>
          <w:szCs w:val="20"/>
          <w:lang w:val="en-US" w:eastAsia="zh-CN"/>
        </w:rPr>
        <w:t>R4-2420235, WF on RRM requirements for NR_NTN_enh, Moderator (Qualcomm Incorporated)</w:t>
      </w:r>
      <w:r>
        <w:rPr>
          <w:rFonts w:hint="eastAsia"/>
          <w:sz w:val="20"/>
          <w:szCs w:val="20"/>
          <w:lang w:val="en-GB" w:eastAsia="zh-CN"/>
        </w:rPr>
        <w:t>.</w:t>
      </w:r>
    </w:p>
    <w:p w14:paraId="69FD76FE">
      <w:pPr>
        <w:numPr>
          <w:ilvl w:val="0"/>
          <w:numId w:val="7"/>
        </w:numPr>
        <w:rPr>
          <w:rFonts w:hint="eastAsia"/>
          <w:sz w:val="20"/>
          <w:szCs w:val="20"/>
          <w:lang w:val="en-GB" w:eastAsia="zh-CN"/>
        </w:rPr>
      </w:pPr>
      <w:r>
        <w:rPr>
          <w:rFonts w:hint="eastAsia"/>
          <w:sz w:val="20"/>
          <w:szCs w:val="20"/>
          <w:lang w:val="en-US" w:eastAsia="zh-CN"/>
        </w:rPr>
        <w:t xml:space="preserve">R2-2410978, </w:t>
      </w:r>
      <w:r>
        <w:rPr>
          <w:rFonts w:hint="eastAsia"/>
          <w:sz w:val="20"/>
          <w:szCs w:val="20"/>
          <w:lang w:val="en-GB" w:eastAsia="zh-CN"/>
        </w:rPr>
        <w:t>LS on soft satellite switch with re-sync</w:t>
      </w:r>
      <w:r>
        <w:rPr>
          <w:rFonts w:hint="eastAsia"/>
          <w:sz w:val="20"/>
          <w:szCs w:val="20"/>
          <w:lang w:val="en-US" w:eastAsia="zh-CN"/>
        </w:rPr>
        <w:t>, RAN2</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39303"/>
    <w:multiLevelType w:val="singleLevel"/>
    <w:tmpl w:val="A0B39303"/>
    <w:lvl w:ilvl="0" w:tentative="0">
      <w:start w:val="1"/>
      <w:numFmt w:val="decimal"/>
      <w:suff w:val="space"/>
      <w:lvlText w:val="[%1]"/>
      <w:lvlJc w:val="left"/>
    </w:lvl>
  </w:abstractNum>
  <w:abstractNum w:abstractNumId="1">
    <w:nsid w:val="CCE72951"/>
    <w:multiLevelType w:val="singleLevel"/>
    <w:tmpl w:val="CCE72951"/>
    <w:lvl w:ilvl="0" w:tentative="0">
      <w:start w:val="1"/>
      <w:numFmt w:val="bullet"/>
      <w:lvlText w:val=""/>
      <w:lvlJc w:val="left"/>
      <w:pPr>
        <w:ind w:left="420" w:hanging="420"/>
      </w:pPr>
      <w:rPr>
        <w:rFonts w:hint="default" w:ascii="Wingdings" w:hAnsi="Wingdings"/>
      </w:rPr>
    </w:lvl>
  </w:abstractNum>
  <w:abstractNum w:abstractNumId="2">
    <w:nsid w:val="EA29379F"/>
    <w:multiLevelType w:val="singleLevel"/>
    <w:tmpl w:val="EA29379F"/>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B411110"/>
    <w:multiLevelType w:val="multilevel"/>
    <w:tmpl w:val="5B41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num>
  <w:num w:numId="3">
    <w:abstractNumId w:val="3"/>
  </w:num>
  <w:num w:numId="4">
    <w:abstractNumId w:val="4"/>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793F6E"/>
    <w:rsid w:val="03F16F56"/>
    <w:rsid w:val="0434763B"/>
    <w:rsid w:val="045E003C"/>
    <w:rsid w:val="056C0B5C"/>
    <w:rsid w:val="059B2FBB"/>
    <w:rsid w:val="05B66B2B"/>
    <w:rsid w:val="05C31792"/>
    <w:rsid w:val="06380D63"/>
    <w:rsid w:val="06C938D1"/>
    <w:rsid w:val="06D13BC6"/>
    <w:rsid w:val="07747E01"/>
    <w:rsid w:val="0775691E"/>
    <w:rsid w:val="082A6897"/>
    <w:rsid w:val="08966482"/>
    <w:rsid w:val="09063CAD"/>
    <w:rsid w:val="091128DB"/>
    <w:rsid w:val="091F2183"/>
    <w:rsid w:val="0938521E"/>
    <w:rsid w:val="0A726FAB"/>
    <w:rsid w:val="0AC91636"/>
    <w:rsid w:val="0AD74098"/>
    <w:rsid w:val="0AF31D7D"/>
    <w:rsid w:val="0C1578C9"/>
    <w:rsid w:val="0CFB40C7"/>
    <w:rsid w:val="0FC709BD"/>
    <w:rsid w:val="105C4837"/>
    <w:rsid w:val="125263AC"/>
    <w:rsid w:val="12F708E7"/>
    <w:rsid w:val="12FB52D6"/>
    <w:rsid w:val="13C54761"/>
    <w:rsid w:val="144F009D"/>
    <w:rsid w:val="14E02C25"/>
    <w:rsid w:val="15F8258F"/>
    <w:rsid w:val="160541EE"/>
    <w:rsid w:val="164F7B75"/>
    <w:rsid w:val="175519EF"/>
    <w:rsid w:val="187E0711"/>
    <w:rsid w:val="198E3F9B"/>
    <w:rsid w:val="19977565"/>
    <w:rsid w:val="1A5E6A80"/>
    <w:rsid w:val="1AA908A3"/>
    <w:rsid w:val="1B4020D8"/>
    <w:rsid w:val="1B81057D"/>
    <w:rsid w:val="1C4140A3"/>
    <w:rsid w:val="1C7E3BD3"/>
    <w:rsid w:val="1D2B280C"/>
    <w:rsid w:val="1D5B4C92"/>
    <w:rsid w:val="1D5F76BA"/>
    <w:rsid w:val="1DB26589"/>
    <w:rsid w:val="1DE54287"/>
    <w:rsid w:val="1DF035A9"/>
    <w:rsid w:val="1EB2708E"/>
    <w:rsid w:val="1FE0479B"/>
    <w:rsid w:val="21C02E2B"/>
    <w:rsid w:val="21F31B70"/>
    <w:rsid w:val="22394DC0"/>
    <w:rsid w:val="223E5B4F"/>
    <w:rsid w:val="2261677D"/>
    <w:rsid w:val="22837A27"/>
    <w:rsid w:val="238D325A"/>
    <w:rsid w:val="248F342A"/>
    <w:rsid w:val="25C32E03"/>
    <w:rsid w:val="25EB7656"/>
    <w:rsid w:val="26455B2C"/>
    <w:rsid w:val="264575A1"/>
    <w:rsid w:val="26C167B6"/>
    <w:rsid w:val="27496E3C"/>
    <w:rsid w:val="2884631A"/>
    <w:rsid w:val="28A67D37"/>
    <w:rsid w:val="29AF71E8"/>
    <w:rsid w:val="29CC56AB"/>
    <w:rsid w:val="2A2B6CE0"/>
    <w:rsid w:val="2A807AE4"/>
    <w:rsid w:val="2ABE4B95"/>
    <w:rsid w:val="2C5C2FEC"/>
    <w:rsid w:val="2D202CAF"/>
    <w:rsid w:val="2D921625"/>
    <w:rsid w:val="2DD75F9C"/>
    <w:rsid w:val="2E464966"/>
    <w:rsid w:val="2E535EC2"/>
    <w:rsid w:val="2E683C59"/>
    <w:rsid w:val="2E871184"/>
    <w:rsid w:val="2F5838B9"/>
    <w:rsid w:val="3007171F"/>
    <w:rsid w:val="328A418D"/>
    <w:rsid w:val="3346489F"/>
    <w:rsid w:val="34785525"/>
    <w:rsid w:val="34E04CFB"/>
    <w:rsid w:val="36164F55"/>
    <w:rsid w:val="365E056F"/>
    <w:rsid w:val="3676329D"/>
    <w:rsid w:val="36D24400"/>
    <w:rsid w:val="372F4478"/>
    <w:rsid w:val="389471F4"/>
    <w:rsid w:val="38E4448D"/>
    <w:rsid w:val="3A10328B"/>
    <w:rsid w:val="3A622FD7"/>
    <w:rsid w:val="3C045223"/>
    <w:rsid w:val="3C0B377F"/>
    <w:rsid w:val="3C66551A"/>
    <w:rsid w:val="3D3F1B31"/>
    <w:rsid w:val="3D757E60"/>
    <w:rsid w:val="3DAB17BA"/>
    <w:rsid w:val="3DCE20FC"/>
    <w:rsid w:val="3E6A7347"/>
    <w:rsid w:val="3E78350E"/>
    <w:rsid w:val="3FCE5A5F"/>
    <w:rsid w:val="40061999"/>
    <w:rsid w:val="40502E52"/>
    <w:rsid w:val="41766342"/>
    <w:rsid w:val="4195149B"/>
    <w:rsid w:val="419A3079"/>
    <w:rsid w:val="41B96EC5"/>
    <w:rsid w:val="42272596"/>
    <w:rsid w:val="42797BA2"/>
    <w:rsid w:val="4434225B"/>
    <w:rsid w:val="443D3D86"/>
    <w:rsid w:val="46A8131D"/>
    <w:rsid w:val="46D07642"/>
    <w:rsid w:val="46DB4C8A"/>
    <w:rsid w:val="47117ED3"/>
    <w:rsid w:val="477B44F2"/>
    <w:rsid w:val="47B63C6D"/>
    <w:rsid w:val="4A6045A0"/>
    <w:rsid w:val="4AA27C3D"/>
    <w:rsid w:val="4B1E335D"/>
    <w:rsid w:val="4B920C94"/>
    <w:rsid w:val="4C5002EC"/>
    <w:rsid w:val="4CC9678E"/>
    <w:rsid w:val="4D1F0167"/>
    <w:rsid w:val="4E273536"/>
    <w:rsid w:val="4E2931CA"/>
    <w:rsid w:val="4E4D5343"/>
    <w:rsid w:val="4F8A27BF"/>
    <w:rsid w:val="4FAF0931"/>
    <w:rsid w:val="50406436"/>
    <w:rsid w:val="50C21F6F"/>
    <w:rsid w:val="52A0321A"/>
    <w:rsid w:val="52D25D57"/>
    <w:rsid w:val="52F014E6"/>
    <w:rsid w:val="53AC779A"/>
    <w:rsid w:val="541B64BA"/>
    <w:rsid w:val="54343997"/>
    <w:rsid w:val="550F4C67"/>
    <w:rsid w:val="55633225"/>
    <w:rsid w:val="55855327"/>
    <w:rsid w:val="55A209EE"/>
    <w:rsid w:val="560918AE"/>
    <w:rsid w:val="56134310"/>
    <w:rsid w:val="5670596C"/>
    <w:rsid w:val="56864D16"/>
    <w:rsid w:val="575F74D4"/>
    <w:rsid w:val="585B3F82"/>
    <w:rsid w:val="58AA2F55"/>
    <w:rsid w:val="59316355"/>
    <w:rsid w:val="5A0D7524"/>
    <w:rsid w:val="5A624644"/>
    <w:rsid w:val="5B1248DB"/>
    <w:rsid w:val="5B475FB3"/>
    <w:rsid w:val="5BB10D9A"/>
    <w:rsid w:val="5C3F0114"/>
    <w:rsid w:val="5D111C3D"/>
    <w:rsid w:val="5D52426E"/>
    <w:rsid w:val="5E19471E"/>
    <w:rsid w:val="5E6B3912"/>
    <w:rsid w:val="5EC475D6"/>
    <w:rsid w:val="5EFC6FEB"/>
    <w:rsid w:val="5FB574AB"/>
    <w:rsid w:val="60046178"/>
    <w:rsid w:val="60F65564"/>
    <w:rsid w:val="61F5344E"/>
    <w:rsid w:val="62B031C7"/>
    <w:rsid w:val="62DF6110"/>
    <w:rsid w:val="63BA7386"/>
    <w:rsid w:val="667C7355"/>
    <w:rsid w:val="66915186"/>
    <w:rsid w:val="67F9721F"/>
    <w:rsid w:val="688D6724"/>
    <w:rsid w:val="6A13360C"/>
    <w:rsid w:val="6A1B0A0D"/>
    <w:rsid w:val="6B297D4F"/>
    <w:rsid w:val="6B8B57B2"/>
    <w:rsid w:val="6BDC7C84"/>
    <w:rsid w:val="6C3C1BF0"/>
    <w:rsid w:val="6CEC68F6"/>
    <w:rsid w:val="6D376B5F"/>
    <w:rsid w:val="6DEB4013"/>
    <w:rsid w:val="700379F2"/>
    <w:rsid w:val="70534BFD"/>
    <w:rsid w:val="714F65D4"/>
    <w:rsid w:val="71D432D4"/>
    <w:rsid w:val="727805A8"/>
    <w:rsid w:val="738E1AE0"/>
    <w:rsid w:val="75307AD5"/>
    <w:rsid w:val="75532043"/>
    <w:rsid w:val="75FA3264"/>
    <w:rsid w:val="7656513E"/>
    <w:rsid w:val="767543BB"/>
    <w:rsid w:val="76A87E18"/>
    <w:rsid w:val="773853D9"/>
    <w:rsid w:val="7883331E"/>
    <w:rsid w:val="78A20C1B"/>
    <w:rsid w:val="78D7305C"/>
    <w:rsid w:val="796E749F"/>
    <w:rsid w:val="79951646"/>
    <w:rsid w:val="79C60080"/>
    <w:rsid w:val="7B2569DF"/>
    <w:rsid w:val="7B4C0432"/>
    <w:rsid w:val="7B6F2B92"/>
    <w:rsid w:val="7BBB337B"/>
    <w:rsid w:val="7C0728B2"/>
    <w:rsid w:val="7C3B4CC2"/>
    <w:rsid w:val="7DDF358F"/>
    <w:rsid w:val="7E3C3FAA"/>
    <w:rsid w:val="7E86642D"/>
    <w:rsid w:val="7F0740B3"/>
    <w:rsid w:val="7F73742C"/>
    <w:rsid w:val="7F7A1B3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8"/>
    <w:semiHidden/>
    <w:unhideWhenUsed/>
    <w:qFormat/>
    <w:uiPriority w:val="99"/>
    <w:rPr>
      <w:rFonts w:ascii="Cambria Math" w:hAnsi="Cambria Math" w:eastAsia="Cambria Math"/>
      <w:sz w:val="20"/>
      <w:szCs w:val="20"/>
    </w:rPr>
  </w:style>
  <w:style w:type="paragraph" w:styleId="13">
    <w:name w:val="annotation text"/>
    <w:basedOn w:val="1"/>
    <w:link w:val="49"/>
    <w:unhideWhenUsed/>
    <w:qFormat/>
    <w:uiPriority w:val="99"/>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3"/>
    <w:next w:val="13"/>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2"/>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1"/>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3"/>
    <w:qFormat/>
    <w:uiPriority w:val="99"/>
  </w:style>
  <w:style w:type="character" w:customStyle="1" w:styleId="50">
    <w:name w:val="批注主题 字符"/>
    <w:link w:val="20"/>
    <w:semiHidden/>
    <w:qFormat/>
    <w:uiPriority w:val="99"/>
    <w:rPr>
      <w:b/>
      <w:bCs/>
    </w:rPr>
  </w:style>
  <w:style w:type="paragraph" w:customStyle="1" w:styleId="51">
    <w:name w:val="B1"/>
    <w:basedOn w:val="15"/>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 w:type="paragraph" w:customStyle="1" w:styleId="89">
    <w:name w:val="B2"/>
    <w:basedOn w:val="1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3</Pages>
  <Words>1416</Words>
  <Characters>8076</Characters>
  <Lines>67</Lines>
  <Paragraphs>18</Paragraphs>
  <TotalTime>28</TotalTime>
  <ScaleCrop>false</ScaleCrop>
  <LinksUpToDate>false</LinksUpToDate>
  <CharactersWithSpaces>9474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CMCC-shiyuan-v2</cp:lastModifiedBy>
  <dcterms:modified xsi:type="dcterms:W3CDTF">2025-02-07T09:01:35Z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3F7F152D7F8A40E285BF429EB61BAE41</vt:lpwstr>
  </property>
</Properties>
</file>